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2839720"/>
                <wp:effectExtent l="0" t="0" r="0" b="0"/>
                <wp:wrapTopAndBottom/>
                <wp:docPr id="1" name="_x0000_s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65389" cy="283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true;mso-position-horizontal-relative:page;margin-left:0.30pt;mso-position-horizontal:absolute;mso-position-vertical-relative:page;margin-top:61.00pt;mso-position-vertical:absolute;width:595.70pt;height:223.60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_x0000_s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;o:allowoverlap:true;o:allowincell:true;mso-position-horizontal-relative:page;margin-left:473.25pt;mso-position-horizontal:absolute;mso-position-vertical-relative:page;margin-top:36.55pt;mso-position-vertical:absolute;width:76.95pt;height:24.45pt;mso-wrap-distance-left:9.00pt;mso-wrap-distance-top:0.00pt;mso-wrap-distance-right:9.00pt;mso-wrap-distance-bottom:0.00pt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и распределения в 2024 – 2028 годах субсидии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и областного бюджетов бюджетам муниципальных образований Еврейской автономной области на развитие сети учреждений культурно-досугового типа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tooltip="consultantplus://offline/ref=9E26C5F58E28456B447939BB572B1D6A6A73B008402CB78C069261C60EE345268DF1A4DC945C750A71E824E052E7A1BF6579F9FF4A82B0n0C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Правил предоставления и распределения субсидий из федерального бюджета бюджетам субъектов Российской Федерации на развитие сети учреждений культурно-досугового типа, являющимися приложением № 23 к государственной программе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Российской Федерации «Развитие культуры, утвержденной Постановлением Правительства Российской Федерации от 15.04.2014 № 317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Еврейской автономной области от 26.12.2023 № 618-пп «Об утверждении государственной программы Еврейской автономной области «Культура Еврейской автономной области» на 2024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2028 годы 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tooltip="#P39" w:anchor="P39" w:history="1">
        <w:r>
          <w:rPr>
            <w:rFonts w:ascii="Times New Roman" w:hAnsi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и распределения в 2024 – 2028 годах субсидии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и областного бюджетов бюджетам муниципальных образований Еврейской автономной области на развитие сети учреждений культурно-досугового типа.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85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before="22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22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righ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righ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righ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righ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от ________________ № 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и распределения в 2024 – 2028 годах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за счет средств федерального и областного бюджетов бюджетам муниципальных образований Еврейской автономной области </w:t>
      </w:r>
      <w:bookmarkStart w:id="0" w:name="_Hlk155617045"/>
      <w:r>
        <w:rPr>
          <w:rFonts w:ascii="Times New Roman" w:hAnsi="Times New Roman"/>
          <w:sz w:val="28"/>
          <w:szCs w:val="28"/>
        </w:rPr>
        <w:t xml:space="preserve">на развитие сети учреждений культурно-досугового типа</w:t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предоставления и распределения в 2024 – 2028 годах субсидии</w:t>
      </w:r>
      <w:r>
        <w:rPr>
          <w:rFonts w:ascii="Times New Roman" w:hAnsi="Times New Roman"/>
          <w:sz w:val="28"/>
          <w:szCs w:val="28"/>
        </w:rPr>
        <w:t xml:space="preserve"> из областного бюджета за счет средс</w:t>
      </w:r>
      <w:r>
        <w:rPr>
          <w:rFonts w:ascii="Times New Roman" w:hAnsi="Times New Roman"/>
          <w:sz w:val="28"/>
          <w:szCs w:val="28"/>
        </w:rPr>
        <w:t xml:space="preserve">тв федерального и областного бюджетов бюджетам муниципальных образований Еврейской автономной области на развитие сети учреждений культурно-досугового типа (далее – Порядок) определяет цели, механизм и условия предоставления и распределения в 2024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2028 годах субсидии из областного бюджета за счет средств федерального и областного бюджетов бюджетам муниципальных образований Еврейской автономной области на развитие сети учреждений культурно-досугового типа (далее – субсидия).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 за счет средств федерального и областного бюджетов расходных обязательств муниципальных образований Еврейской автономной области на реализацию мероприятий по созданию и модернизации учреждений культурно-досугового </w:t>
      </w:r>
      <w:r>
        <w:rPr>
          <w:rFonts w:ascii="Times New Roman" w:hAnsi="Times New Roman" w:cs="Times New Roman"/>
          <w:sz w:val="28"/>
          <w:szCs w:val="28"/>
        </w:rPr>
        <w:t xml:space="preserve">типа в сельской местности.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Субсидия имеет целевое назначение и не может быть использована муниципальным образованием Еврейской автономной области (далее – муниципальное образование) на иные цели.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Условиями предоставления субсидии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а) наличие утвержденной муниципальной программы, включающей перечень мероприятий, направленных на развитие сети учреждений культурно-досугового типа;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709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в местном бюджете (сводной бюджетной росписи местного бюджета) бюджетных </w:t>
      </w:r>
      <w:r>
        <w:rPr>
          <w:rFonts w:ascii="Times New Roman" w:hAnsi="Times New Roman"/>
          <w:sz w:val="28"/>
          <w:szCs w:val="28"/>
        </w:rPr>
        <w:t xml:space="preserve">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включающем размер планируемой к предоставлению из областного бюджета субсидии;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наличие в муниципальном образовании учреждений культурно-досугового типа, требующих строительство (реконструкции) и капитального ремонта;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местным бюджетам осуществляется на основании Соглашения о предоставлении субсидии, заключенного между Департаментом и органом местного самоуправления муниципального образования области (далее - </w:t>
      </w:r>
      <w:r>
        <w:rPr>
          <w:rFonts w:ascii="Times New Roman" w:hAnsi="Times New Roman" w:cs="Times New Roman"/>
          <w:sz w:val="28"/>
          <w:szCs w:val="28"/>
        </w:rPr>
        <w:t xml:space="preserve">соглашение)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Критерием отбора муниципальных образований для предоставления субсидии является наличие потребности в </w:t>
      </w:r>
      <w:r>
        <w:rPr>
          <w:rFonts w:ascii="Times New Roman" w:hAnsi="Times New Roman" w:cs="Times New Roman"/>
          <w:sz w:val="28"/>
          <w:szCs w:val="28"/>
        </w:rPr>
        <w:t xml:space="preserve">создании и модернизации учреждений культурно-досугового </w:t>
      </w:r>
      <w:r>
        <w:rPr>
          <w:rFonts w:ascii="Times New Roman" w:hAnsi="Times New Roman" w:cs="Times New Roman"/>
          <w:sz w:val="28"/>
          <w:szCs w:val="28"/>
        </w:rPr>
        <w:t xml:space="preserve">типа в сельской местности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Субсидии предоставляются департаментом муниципа</w:t>
      </w:r>
      <w:r>
        <w:rPr>
          <w:rFonts w:ascii="Times New Roman" w:hAnsi="Times New Roman"/>
          <w:sz w:val="28"/>
          <w:szCs w:val="28"/>
        </w:rPr>
        <w:t xml:space="preserve">льным образованиям на основании Соглашения в пределах бюджетных ассигнований и лимитов бюджетных обязательств, предусмотренных законом области об областном бюджете на очередной финансовый год и плановый период, в соответствии со сводной бюджетной росписью.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Предельный </w:t>
      </w:r>
      <w:r>
        <w:rPr>
          <w:rFonts w:ascii="Times New Roman" w:hAnsi="Times New Roman"/>
          <w:sz w:val="28"/>
          <w:szCs w:val="28"/>
        </w:rPr>
        <w:t xml:space="preserve">уровень софинансирования расходного обязательства муниципального образования из областного бюджета устанавливается в соответствии </w:t>
      </w:r>
      <w:r>
        <w:rPr>
          <w:rFonts w:ascii="Times New Roman" w:hAnsi="Times New Roman"/>
          <w:sz w:val="28"/>
          <w:szCs w:val="28"/>
        </w:rPr>
        <w:t xml:space="preserve">с Соглашением о предоставлении субсидии из федерального бюджета </w:t>
      </w:r>
      <w:r>
        <w:rPr>
          <w:rFonts w:ascii="Times New Roman" w:hAnsi="Times New Roman"/>
          <w:sz w:val="28"/>
          <w:szCs w:val="28"/>
        </w:rPr>
        <w:t xml:space="preserve">областному </w:t>
      </w:r>
      <w:r>
        <w:rPr>
          <w:rFonts w:ascii="Times New Roman" w:hAnsi="Times New Roman"/>
          <w:sz w:val="28"/>
          <w:szCs w:val="28"/>
        </w:rPr>
        <w:t xml:space="preserve">бюджету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Распределение субсидий утверждается законом Еврейской автономной области об областном бюджете на текущий финансовый год и плановый период.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. Для получения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субсидии муниципальное образование предоставляет в департамент следующие документы:</w:t>
      </w:r>
      <w:r>
        <w:rPr>
          <w:rFonts w:cs="Calibri"/>
          <w:color w:val="000000"/>
          <w:sz w:val="22"/>
          <w:szCs w:val="22"/>
        </w:rPr>
      </w:r>
      <w:r>
        <w:rPr>
          <w:rFonts w:cs="Calibri"/>
          <w:color w:val="000000"/>
          <w:sz w:val="22"/>
          <w:szCs w:val="22"/>
        </w:rPr>
      </w:r>
    </w:p>
    <w:p>
      <w:pPr>
        <w:ind w:firstLine="708"/>
        <w:jc w:val="both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заявку на предоставление субсидии на очередной финансовый год по форме, утвержденной департаментом;</w:t>
      </w:r>
      <w:r>
        <w:rPr>
          <w:rFonts w:cs="Calibri"/>
          <w:color w:val="000000"/>
          <w:sz w:val="22"/>
          <w:szCs w:val="22"/>
        </w:rPr>
      </w:r>
      <w:r>
        <w:rPr>
          <w:rFonts w:cs="Calibri"/>
          <w:color w:val="000000"/>
          <w:sz w:val="22"/>
          <w:szCs w:val="22"/>
        </w:rPr>
      </w:r>
    </w:p>
    <w:p>
      <w:pPr>
        <w:ind w:firstLine="708"/>
        <w:jc w:val="both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копию муниципальной программы, включающей перечень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созданию и модернизации учреждений культурно-досугового </w:t>
      </w:r>
      <w:r>
        <w:rPr>
          <w:rFonts w:ascii="Times New Roman" w:hAnsi="Times New Roman" w:cs="Times New Roman"/>
          <w:sz w:val="28"/>
          <w:szCs w:val="28"/>
        </w:rPr>
        <w:t xml:space="preserve">типа в муниципальных образованиях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cs="Calibri"/>
          <w:color w:val="000000"/>
          <w:sz w:val="22"/>
          <w:szCs w:val="22"/>
        </w:rPr>
      </w:r>
      <w:r>
        <w:rPr>
          <w:rFonts w:cs="Calibri"/>
          <w:color w:val="000000"/>
          <w:sz w:val="22"/>
          <w:szCs w:val="22"/>
        </w:rPr>
      </w:r>
    </w:p>
    <w:p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выписку из решения о бюджете муниципального образования на текущий финансовый год (на текущий финансовый год и плановый период), подтверждающую наличие бюджетных ассигнований на финансирование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созданию и модернизации учреждений культурно-досугового </w:t>
      </w:r>
      <w:r>
        <w:rPr>
          <w:rFonts w:ascii="Times New Roman" w:hAnsi="Times New Roman" w:cs="Times New Roman"/>
          <w:sz w:val="28"/>
          <w:szCs w:val="28"/>
        </w:rPr>
        <w:t xml:space="preserve">типа</w:t>
      </w:r>
      <w:r>
        <w:rPr>
          <w:rFonts w:ascii="Times New Roman" w:hAnsi="Times New Roman"/>
          <w:sz w:val="28"/>
          <w:szCs w:val="28"/>
        </w:rPr>
        <w:t xml:space="preserve"> в муниципальных образованиях.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jc w:val="both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Документ, предусмотренный подпунктом «б» пункта </w:t>
      </w: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Порядка, представляется муниципальным образованием в департамент в копии, заверенной в установленном порядке.</w:t>
      </w:r>
      <w:r>
        <w:rPr>
          <w:rFonts w:cs="Calibri"/>
          <w:color w:val="000000"/>
          <w:sz w:val="22"/>
          <w:szCs w:val="22"/>
        </w:rPr>
      </w:r>
      <w:r>
        <w:rPr>
          <w:rFonts w:cs="Calibri"/>
          <w:color w:val="000000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. В случае представления муниципальным образованием ненадлежащим образом оформленных документов и (или) неполного пакета документов, предусмотренных пунктом </w:t>
      </w: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Порядка, департамент в течение 3 рабочих дней возвращает документы без их рассмотрения муниципальному образованию для дооформления.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дооформления документов муниципальное образование вправе повторно обратиться в департамент в порядке, установленном настоящим Порядком.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Департамент в течение 5 рабочих дней со дня поступления от муниципальных образований документов, предусмотренных пунктом </w:t>
      </w: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Порядка, осуществляет проверку представленных документов и принимает решение о предоставлении субсидии или об отказе в предоставлении субсидии.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. В случае принятия решения об отказе в предоставлении субсидии департамент в течение 3 рабочих дней со дня принятия соответствующего решения направляет муниципальному образованию письменное уведомление с обоснованием причин отказа.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 Основаниями для принятия решения об отказе муниципальному образованию в предоставлении субсидии являются: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представление муниципальным образованием недостоверной информации;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несоответствие муниципального образования критерию, предусмотренному пунктом 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несоблюдение муниципальным образованием условий, предусмотренных пунктом 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. В случае принятия решения о предоставлении субсидии департамент в течение 5 рабочих дней со дня принятия соответствующего решения заключает с органом местного самоуправления муниципального образования Соглашение.</w: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Перечисление субсидий муниципальным образованиям осуществляется д</w:t>
      </w:r>
      <w:r>
        <w:rPr>
          <w:rFonts w:ascii="Times New Roman" w:hAnsi="Times New Roman"/>
          <w:sz w:val="28"/>
          <w:szCs w:val="28"/>
        </w:rPr>
        <w:t xml:space="preserve">епартаментом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перечисления в установленном порядке в бюджеты муниципальных образований.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Оценка эффективности использования субсидий муниципальными образованиями осуществляется департаментом исходя из достигнутых муниципальными образованиями значений результатов использования субсидий, установленных Соглашениями.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использования субсидий являются </w:t>
      </w:r>
      <w:r>
        <w:rPr>
          <w:rFonts w:ascii="Times New Roman" w:hAnsi="Times New Roman"/>
          <w:sz w:val="28"/>
          <w:szCs w:val="28"/>
        </w:rPr>
        <w:t xml:space="preserve">построенные (реконструированные) и (или) капитально отремонтированные культурно-досуговые организации в сельской местности.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Муни</w:t>
      </w:r>
      <w:r>
        <w:rPr>
          <w:rFonts w:ascii="Times New Roman" w:hAnsi="Times New Roman"/>
          <w:sz w:val="28"/>
          <w:szCs w:val="28"/>
        </w:rPr>
        <w:t xml:space="preserve">ципальное образование ежеквартально не позднее 5-го числа месяца, следующего за отчетным кварталом, представляет в департамент отчет об осуществлении расходов бюджета муниципального образования, источником финансового обеспечения которых является субсидия.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муниципального образования о достижении значений результатов использования субсидии, установленных Соглашением, представляется в департамент в срок до 10 января года, следующего за отчетным.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 случае если муниципальным образованием по состоянию на 31 декабря года предос</w:t>
      </w:r>
      <w:r>
        <w:rPr>
          <w:rFonts w:ascii="Times New Roman" w:hAnsi="Times New Roman"/>
          <w:sz w:val="28"/>
          <w:szCs w:val="28"/>
        </w:rPr>
        <w:t xml:space="preserve">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субсидии, указанные нарушения не устранены, объем средств, подлежащий возврату из бюджета муниципального образования в областной бюджет в срок до 1 июля года, следующего за годом предоставления субсидии (</w:t>
      </w: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), рассчитывается по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/>
          <w:sz w:val="28"/>
          <w:szCs w:val="28"/>
        </w:rPr>
        <w:t xml:space="preserve"> x k x m / n) x 0,1,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</w:rPr>
        <w:t xml:space="preserve"> - объем средств, подлежащий возврату из бюджета муниципального образования в областной бюджет;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/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- общее количество результатов использования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- коэффициент возврата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/>
          <w:sz w:val="28"/>
          <w:szCs w:val="28"/>
        </w:rPr>
        <w:t xml:space="preserve">), не учитывается размер остатка субсидии, не использованного по состоянию на 1 января текущего финансового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возврата субсидии рассчитывается по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 = SUM D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  <w:lang w:val="en-US"/>
        </w:rPr>
        <w:t xml:space="preserve"> / m,</w:t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где</w:t>
      </w:r>
      <w:r>
        <w:rPr>
          <w:rFonts w:ascii="Times New Roman" w:hAnsi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- коэффициент возврата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SUM - знак суммирования.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Индекс, отражающий уровень недостижения i-го результата использования субсидии, определяется: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= 1 - </w:t>
      </w:r>
      <w:r>
        <w:rPr>
          <w:rFonts w:ascii="Times New Roman" w:hAnsi="Times New Roman"/>
          <w:sz w:val="28"/>
          <w:szCs w:val="28"/>
        </w:rPr>
        <w:t xml:space="preserve">T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- фактически достигнутое значение i-го результата использования субсидии на отчетную дату;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= 1 - </w:t>
      </w: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T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- фактически достигнутое значение i-го результата использования субсидии на отчетную дату;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</w:t>
      </w:r>
      <w:r>
        <w:rPr>
          <w:rFonts w:ascii="Times New Roman" w:hAnsi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w:tooltip="#Par59" w:anchor="Par59" w:history="1">
        <w:r>
          <w:rPr>
            <w:rFonts w:ascii="Times New Roman" w:hAnsi="Times New Roman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при наличии основания, предусмотренного </w:t>
      </w:r>
      <w:hyperlink w:tooltip="#Par97" w:anchor="Par97" w:history="1">
        <w:r>
          <w:rPr>
            <w:rFonts w:ascii="Times New Roman" w:hAnsi="Times New Roman"/>
            <w:sz w:val="28"/>
            <w:szCs w:val="28"/>
          </w:rPr>
          <w:t xml:space="preserve">абзацем первым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подг</w:t>
      </w:r>
      <w:r>
        <w:rPr>
          <w:rFonts w:ascii="Times New Roman" w:hAnsi="Times New Roman"/>
          <w:sz w:val="28"/>
          <w:szCs w:val="28"/>
        </w:rPr>
        <w:t xml:space="preserve">отавливает заключение о причинах неисполнения муниципальным образованием соответствующих обязательств, а также о целесообразности продления срока устранения нарушения данных обязательств и достаточности мер, предпринимаемых для устранения такого нарушения.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Указанное заключение формируется не позднее 5 июня года, следующего за годом предоставления субсидии, на основании документов, подтверждающих наступление обстоятельств непреодолимой силы, </w:t>
      </w:r>
      <w:r>
        <w:rPr>
          <w:rFonts w:ascii="Times New Roman" w:hAnsi="Times New Roman"/>
          <w:sz w:val="28"/>
          <w:szCs w:val="28"/>
        </w:rPr>
        <w:t xml:space="preserve">вследствие которых соответствующие обязательства не исполнены, представляемых департаменту органом местного самоуправления муниципального образования, допустившим нарушение соответствующих обязательств. Одновременно с указанными документами представляется </w:t>
      </w:r>
      <w:r>
        <w:rPr>
          <w:rFonts w:ascii="Times New Roman" w:hAnsi="Times New Roman"/>
          <w:sz w:val="28"/>
          <w:szCs w:val="28"/>
        </w:rPr>
        <w:t xml:space="preserve">информация о предпринимаемых мерах по устранению нарушения и персональной ответственности должностных лиц, ответственных за такое нарушение.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</w:t>
      </w:r>
      <w:hyperlink w:tooltip="#Par59" w:anchor="Par59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настоящего Порядка, департамент не позднее 30-го рабочего дня после первой даты представления отчетности о достижении значений результатов использования субсидии в соответствии с Согл</w:t>
      </w:r>
      <w:r>
        <w:rPr>
          <w:rFonts w:ascii="Times New Roman" w:hAnsi="Times New Roman"/>
          <w:sz w:val="28"/>
          <w:szCs w:val="28"/>
        </w:rPr>
        <w:t xml:space="preserve">ашением в году, следующем за годом предоставления субсидии, направляет в орган местного самоуправления муниципального образования требование о возврате из бюджета муниципального образования в областной бюджет объема средств, рассчитанного в соответствии с </w:t>
      </w:r>
      <w:hyperlink w:tooltip="#Par59" w:anchor="Par59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настоящего Порядка (далее – требование о возврате), с указанием суммы, подлежащей возврату, и срока ее возврата в соответствии с настоящим Порядком.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в случае полного или частичного неперечисления суммы, указанной в требовании о возврате, в течение 5 рабочих дней со дня истечения установленного </w:t>
      </w:r>
      <w:hyperlink w:tooltip="#Par59" w:anchor="Par59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настоящего Порядка срока для возврата в областной бюджет средств из бюджета муниципального образования представляет информацию о неисполнении требования о возврате в департамент финансов правительства </w:t>
      </w:r>
      <w:bookmarkStart w:id="1" w:name="_Hlk158109113"/>
      <w:r>
        <w:rPr>
          <w:rFonts w:ascii="Times New Roman" w:hAnsi="Times New Roman"/>
          <w:sz w:val="28"/>
          <w:szCs w:val="28"/>
        </w:rPr>
        <w:t xml:space="preserve">Еврейской автономной </w:t>
      </w:r>
      <w:bookmarkEnd w:id="1"/>
      <w:r>
        <w:rPr>
          <w:rFonts w:ascii="Times New Roman" w:hAnsi="Times New Roman"/>
          <w:sz w:val="28"/>
          <w:szCs w:val="28"/>
        </w:rPr>
        <w:t xml:space="preserve">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</w:t>
      </w:r>
      <w:r>
        <w:rPr>
          <w:rFonts w:ascii="Times New Roman" w:hAnsi="Times New Roman"/>
          <w:sz w:val="28"/>
          <w:szCs w:val="28"/>
        </w:rPr>
        <w:t xml:space="preserve">амент финансов правительства области в срок не позднее 10 рабочих дней со дня получения указанной информации назначает проверку исполнения органом местного самоуправления муниципального образования требования о возврате в соответствии с утвержденными Прави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федеральными стандартами внутреннего государственного (муниципального) финансового контроля «Проведение проверок, ревизий и обследований и оформление их результатов», «Реализация результатов проверок, ревизий и обследований».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Не использованные на 1 января текущего финансового года субсидии подлежат возврату в доход областного бюджета.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неиспользованный остаток субсидий не перечислен в доход областного бюджета, указанные средства подлежат взысканию в доход областного бюджета в порядке, устанавливаемом департаментом финансов правительства </w:t>
      </w:r>
      <w:r>
        <w:rPr>
          <w:rFonts w:ascii="Times New Roman" w:hAnsi="Times New Roman"/>
          <w:sz w:val="28"/>
          <w:szCs w:val="28"/>
        </w:rPr>
        <w:t xml:space="preserve">Еврейской автономной </w:t>
      </w:r>
      <w:r>
        <w:rPr>
          <w:rFonts w:ascii="Times New Roman" w:hAnsi="Times New Roman"/>
          <w:sz w:val="28"/>
          <w:szCs w:val="28"/>
        </w:rPr>
        <w:t xml:space="preserve">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департамента о наличии потребности бюджетов муниципальных образований области в субсидиях, не использованных в отчетном финансовом году, согласованным с департаментом финансов правительства области, средства в объеме, не превыша</w:t>
      </w:r>
      <w:r>
        <w:rPr>
          <w:rFonts w:ascii="Times New Roman" w:hAnsi="Times New Roman"/>
          <w:sz w:val="28"/>
          <w:szCs w:val="28"/>
        </w:rPr>
        <w:t xml:space="preserve">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 случае нецелевого использования субсидии к органу местного самоуправления муниципального образования применяются бюджетные меры принуждения, предусмотренные бюджетным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Контроль за соблюдением условий, целей и порядка расходования субсидий муниципальными образованиями осуществляется департаментом и органами государственного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Еврейской автономной </w:t>
      </w:r>
      <w:r>
        <w:rPr>
          <w:rFonts w:ascii="Times New Roman" w:hAnsi="Times New Roman"/>
          <w:sz w:val="28"/>
          <w:szCs w:val="28"/>
        </w:rPr>
        <w:t xml:space="preserve">области 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4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/>
    <w:r/>
  </w:p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Title Char"/>
    <w:basedOn w:val="702"/>
    <w:link w:val="716"/>
    <w:uiPriority w:val="10"/>
    <w:rPr>
      <w:sz w:val="48"/>
      <w:szCs w:val="48"/>
    </w:rPr>
  </w:style>
  <w:style w:type="character" w:styleId="690">
    <w:name w:val="Footnote Text Char"/>
    <w:link w:val="857"/>
    <w:uiPriority w:val="99"/>
    <w:rPr>
      <w:sz w:val="18"/>
    </w:rPr>
  </w:style>
  <w:style w:type="character" w:styleId="691">
    <w:name w:val="Endnote Text Char"/>
    <w:link w:val="860"/>
    <w:uiPriority w:val="99"/>
    <w:rPr>
      <w:sz w:val="20"/>
    </w:rPr>
  </w:style>
  <w:style w:type="paragraph" w:styleId="692" w:default="1">
    <w:name w:val="Normal"/>
    <w:qFormat/>
    <w:rPr>
      <w:sz w:val="24"/>
      <w:szCs w:val="24"/>
    </w:rPr>
  </w:style>
  <w:style w:type="paragraph" w:styleId="693">
    <w:name w:val="Heading 1"/>
    <w:basedOn w:val="692"/>
    <w:next w:val="692"/>
    <w:link w:val="876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4">
    <w:name w:val="Heading 2"/>
    <w:basedOn w:val="692"/>
    <w:next w:val="692"/>
    <w:link w:val="877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5">
    <w:name w:val="Heading 3"/>
    <w:basedOn w:val="692"/>
    <w:next w:val="692"/>
    <w:link w:val="87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96">
    <w:name w:val="Heading 4"/>
    <w:basedOn w:val="692"/>
    <w:next w:val="692"/>
    <w:link w:val="879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7">
    <w:name w:val="Heading 5"/>
    <w:basedOn w:val="692"/>
    <w:next w:val="692"/>
    <w:link w:val="88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98">
    <w:name w:val="Heading 6"/>
    <w:basedOn w:val="692"/>
    <w:next w:val="692"/>
    <w:link w:val="881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99">
    <w:name w:val="Heading 7"/>
    <w:basedOn w:val="692"/>
    <w:next w:val="692"/>
    <w:link w:val="882"/>
    <w:uiPriority w:val="9"/>
    <w:semiHidden/>
    <w:unhideWhenUsed/>
    <w:qFormat/>
    <w:pPr>
      <w:spacing w:before="240" w:after="60"/>
      <w:outlineLvl w:val="6"/>
    </w:pPr>
  </w:style>
  <w:style w:type="paragraph" w:styleId="700">
    <w:name w:val="Heading 8"/>
    <w:basedOn w:val="692"/>
    <w:next w:val="692"/>
    <w:link w:val="883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701">
    <w:name w:val="Heading 9"/>
    <w:basedOn w:val="692"/>
    <w:next w:val="692"/>
    <w:link w:val="884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92"/>
    <w:uiPriority w:val="34"/>
    <w:qFormat/>
    <w:pPr>
      <w:contextualSpacing/>
      <w:ind w:left="720"/>
    </w:pPr>
  </w:style>
  <w:style w:type="paragraph" w:styleId="715">
    <w:name w:val="No Spacing"/>
    <w:basedOn w:val="692"/>
    <w:uiPriority w:val="1"/>
    <w:qFormat/>
    <w:rPr>
      <w:szCs w:val="32"/>
    </w:rPr>
  </w:style>
  <w:style w:type="paragraph" w:styleId="716">
    <w:name w:val="Title"/>
    <w:basedOn w:val="692"/>
    <w:next w:val="69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link w:val="716"/>
    <w:uiPriority w:val="10"/>
    <w:rPr>
      <w:sz w:val="48"/>
      <w:szCs w:val="48"/>
    </w:rPr>
  </w:style>
  <w:style w:type="paragraph" w:styleId="718">
    <w:name w:val="Subtitle"/>
    <w:basedOn w:val="692"/>
    <w:next w:val="692"/>
    <w:link w:val="887"/>
    <w:uiPriority w:val="11"/>
    <w:qFormat/>
    <w:pPr>
      <w:jc w:val="center"/>
      <w:spacing w:after="60"/>
      <w:outlineLvl w:val="1"/>
    </w:pPr>
    <w:rPr>
      <w:rFonts w:ascii="Cambria" w:hAnsi="Cambria"/>
    </w:rPr>
  </w:style>
  <w:style w:type="character" w:styleId="719" w:customStyle="1">
    <w:name w:val="Subtitle Char"/>
    <w:uiPriority w:val="11"/>
    <w:rPr>
      <w:sz w:val="24"/>
      <w:szCs w:val="24"/>
    </w:rPr>
  </w:style>
  <w:style w:type="paragraph" w:styleId="720">
    <w:name w:val="Quote"/>
    <w:basedOn w:val="692"/>
    <w:next w:val="692"/>
    <w:link w:val="890"/>
    <w:uiPriority w:val="29"/>
    <w:qFormat/>
    <w:rPr>
      <w:i/>
    </w:rPr>
  </w:style>
  <w:style w:type="character" w:styleId="721" w:customStyle="1">
    <w:name w:val="Quote Char"/>
    <w:uiPriority w:val="29"/>
    <w:rPr>
      <w:i/>
    </w:rPr>
  </w:style>
  <w:style w:type="paragraph" w:styleId="722">
    <w:name w:val="Intense Quote"/>
    <w:basedOn w:val="692"/>
    <w:next w:val="692"/>
    <w:link w:val="891"/>
    <w:uiPriority w:val="30"/>
    <w:qFormat/>
    <w:pPr>
      <w:ind w:left="720" w:right="720"/>
    </w:pPr>
    <w:rPr>
      <w:b/>
      <w:i/>
      <w:szCs w:val="22"/>
    </w:rPr>
  </w:style>
  <w:style w:type="character" w:styleId="723" w:customStyle="1">
    <w:name w:val="Intense Quote Char"/>
    <w:uiPriority w:val="30"/>
    <w:rPr>
      <w:i/>
    </w:rPr>
  </w:style>
  <w:style w:type="paragraph" w:styleId="724">
    <w:name w:val="Header"/>
    <w:basedOn w:val="692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5" w:customStyle="1">
    <w:name w:val="Header Char"/>
    <w:uiPriority w:val="99"/>
  </w:style>
  <w:style w:type="paragraph" w:styleId="726">
    <w:name w:val="Footer"/>
    <w:basedOn w:val="692"/>
    <w:link w:val="8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7" w:customStyle="1">
    <w:name w:val="Footer Char"/>
    <w:uiPriority w:val="99"/>
  </w:style>
  <w:style w:type="paragraph" w:styleId="728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unhideWhenUsed/>
    <w:rPr>
      <w:color w:val="0000ff"/>
      <w:u w:val="single"/>
    </w:rPr>
  </w:style>
  <w:style w:type="paragraph" w:styleId="857">
    <w:name w:val="footnote text"/>
    <w:basedOn w:val="692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692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692"/>
    <w:next w:val="692"/>
    <w:uiPriority w:val="39"/>
    <w:unhideWhenUsed/>
    <w:pPr>
      <w:spacing w:after="57"/>
    </w:pPr>
  </w:style>
  <w:style w:type="paragraph" w:styleId="864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5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6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7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8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9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70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1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2">
    <w:name w:val="TOC Heading"/>
    <w:basedOn w:val="693"/>
    <w:next w:val="692"/>
    <w:uiPriority w:val="39"/>
    <w:semiHidden/>
    <w:unhideWhenUsed/>
    <w:qFormat/>
    <w:pPr>
      <w:outlineLvl w:val="9"/>
    </w:pPr>
  </w:style>
  <w:style w:type="paragraph" w:styleId="873">
    <w:name w:val="table of figures"/>
    <w:basedOn w:val="692"/>
    <w:next w:val="692"/>
    <w:uiPriority w:val="99"/>
    <w:unhideWhenUsed/>
  </w:style>
  <w:style w:type="paragraph" w:styleId="874">
    <w:name w:val="Balloon Text"/>
    <w:basedOn w:val="692"/>
    <w:link w:val="875"/>
    <w:uiPriority w:val="99"/>
    <w:semiHidden/>
    <w:unhideWhenUsed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uiPriority w:val="99"/>
    <w:semiHidden/>
    <w:rPr>
      <w:rFonts w:ascii="Tahoma" w:hAnsi="Tahoma" w:cs="Tahoma"/>
      <w:sz w:val="16"/>
      <w:szCs w:val="16"/>
    </w:rPr>
  </w:style>
  <w:style w:type="character" w:styleId="876" w:customStyle="1">
    <w:name w:val="Заголовок 1 Знак"/>
    <w:link w:val="693"/>
    <w:uiPriority w:val="9"/>
    <w:rPr>
      <w:rFonts w:ascii="Cambria" w:hAnsi="Cambria" w:eastAsia="Times New Roman"/>
      <w:b/>
      <w:bCs/>
      <w:sz w:val="32"/>
      <w:szCs w:val="32"/>
    </w:rPr>
  </w:style>
  <w:style w:type="character" w:styleId="877" w:customStyle="1">
    <w:name w:val="Заголовок 2 Знак"/>
    <w:link w:val="694"/>
    <w:uiPriority w:val="9"/>
    <w:semiHidden/>
    <w:rPr>
      <w:rFonts w:ascii="Cambria" w:hAnsi="Cambria" w:eastAsia="Times New Roman"/>
      <w:b/>
      <w:bCs/>
      <w:i/>
      <w:iCs/>
      <w:sz w:val="28"/>
      <w:szCs w:val="28"/>
    </w:rPr>
  </w:style>
  <w:style w:type="character" w:styleId="878" w:customStyle="1">
    <w:name w:val="Заголовок 3 Знак"/>
    <w:link w:val="695"/>
    <w:uiPriority w:val="9"/>
    <w:semiHidden/>
    <w:rPr>
      <w:rFonts w:ascii="Cambria" w:hAnsi="Cambria" w:eastAsia="Times New Roman"/>
      <w:b/>
      <w:bCs/>
      <w:sz w:val="26"/>
      <w:szCs w:val="26"/>
    </w:rPr>
  </w:style>
  <w:style w:type="character" w:styleId="879" w:customStyle="1">
    <w:name w:val="Заголовок 4 Знак"/>
    <w:link w:val="696"/>
    <w:uiPriority w:val="9"/>
    <w:semiHidden/>
    <w:rPr>
      <w:b/>
      <w:bCs/>
      <w:sz w:val="28"/>
      <w:szCs w:val="28"/>
    </w:rPr>
  </w:style>
  <w:style w:type="character" w:styleId="880" w:customStyle="1">
    <w:name w:val="Заголовок 5 Знак"/>
    <w:link w:val="697"/>
    <w:uiPriority w:val="9"/>
    <w:semiHidden/>
    <w:rPr>
      <w:b/>
      <w:bCs/>
      <w:i/>
      <w:iCs/>
      <w:sz w:val="26"/>
      <w:szCs w:val="26"/>
    </w:rPr>
  </w:style>
  <w:style w:type="character" w:styleId="881" w:customStyle="1">
    <w:name w:val="Заголовок 6 Знак"/>
    <w:link w:val="698"/>
    <w:uiPriority w:val="9"/>
    <w:semiHidden/>
    <w:rPr>
      <w:b/>
      <w:bCs/>
    </w:rPr>
  </w:style>
  <w:style w:type="character" w:styleId="882" w:customStyle="1">
    <w:name w:val="Заголовок 7 Знак"/>
    <w:link w:val="699"/>
    <w:uiPriority w:val="9"/>
    <w:semiHidden/>
    <w:rPr>
      <w:sz w:val="24"/>
      <w:szCs w:val="24"/>
    </w:rPr>
  </w:style>
  <w:style w:type="character" w:styleId="883" w:customStyle="1">
    <w:name w:val="Заголовок 8 Знак"/>
    <w:link w:val="700"/>
    <w:uiPriority w:val="9"/>
    <w:semiHidden/>
    <w:rPr>
      <w:i/>
      <w:iCs/>
      <w:sz w:val="24"/>
      <w:szCs w:val="24"/>
    </w:rPr>
  </w:style>
  <w:style w:type="character" w:styleId="884" w:customStyle="1">
    <w:name w:val="Заголовок 9 Знак"/>
    <w:link w:val="701"/>
    <w:uiPriority w:val="9"/>
    <w:semiHidden/>
    <w:rPr>
      <w:rFonts w:ascii="Cambria" w:hAnsi="Cambria" w:eastAsia="Times New Roman"/>
    </w:rPr>
  </w:style>
  <w:style w:type="paragraph" w:styleId="885" w:customStyle="1">
    <w:name w:val="Название"/>
    <w:basedOn w:val="692"/>
    <w:next w:val="692"/>
    <w:link w:val="88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86" w:customStyle="1">
    <w:name w:val="Название Знак"/>
    <w:link w:val="885"/>
    <w:uiPriority w:val="10"/>
    <w:rPr>
      <w:rFonts w:ascii="Cambria" w:hAnsi="Cambria" w:eastAsia="Times New Roman"/>
      <w:b/>
      <w:bCs/>
      <w:sz w:val="32"/>
      <w:szCs w:val="32"/>
    </w:rPr>
  </w:style>
  <w:style w:type="character" w:styleId="887" w:customStyle="1">
    <w:name w:val="Подзаголовок Знак"/>
    <w:link w:val="718"/>
    <w:uiPriority w:val="11"/>
    <w:rPr>
      <w:rFonts w:ascii="Cambria" w:hAnsi="Cambria" w:eastAsia="Times New Roman"/>
      <w:sz w:val="24"/>
      <w:szCs w:val="24"/>
    </w:rPr>
  </w:style>
  <w:style w:type="character" w:styleId="888">
    <w:name w:val="Strong"/>
    <w:uiPriority w:val="22"/>
    <w:qFormat/>
    <w:rPr>
      <w:b/>
      <w:bCs/>
    </w:rPr>
  </w:style>
  <w:style w:type="character" w:styleId="889">
    <w:name w:val="Emphasis"/>
    <w:uiPriority w:val="20"/>
    <w:qFormat/>
    <w:rPr>
      <w:rFonts w:ascii="Calibri" w:hAnsi="Calibri"/>
      <w:b/>
      <w:i/>
      <w:iCs/>
    </w:rPr>
  </w:style>
  <w:style w:type="character" w:styleId="890" w:customStyle="1">
    <w:name w:val="Цитата 2 Знак"/>
    <w:link w:val="720"/>
    <w:uiPriority w:val="29"/>
    <w:rPr>
      <w:i/>
      <w:sz w:val="24"/>
      <w:szCs w:val="24"/>
    </w:rPr>
  </w:style>
  <w:style w:type="character" w:styleId="891" w:customStyle="1">
    <w:name w:val="Выделенная цитата Знак"/>
    <w:link w:val="722"/>
    <w:uiPriority w:val="30"/>
    <w:rPr>
      <w:b/>
      <w:i/>
      <w:sz w:val="24"/>
    </w:rPr>
  </w:style>
  <w:style w:type="character" w:styleId="892">
    <w:name w:val="Subtle Emphasis"/>
    <w:uiPriority w:val="19"/>
    <w:qFormat/>
    <w:rPr>
      <w:i/>
      <w:color w:val="5a5a5a"/>
    </w:rPr>
  </w:style>
  <w:style w:type="character" w:styleId="893">
    <w:name w:val="Intense Emphasis"/>
    <w:uiPriority w:val="21"/>
    <w:qFormat/>
    <w:rPr>
      <w:b/>
      <w:i/>
      <w:sz w:val="24"/>
      <w:szCs w:val="24"/>
      <w:u w:val="single"/>
    </w:rPr>
  </w:style>
  <w:style w:type="character" w:styleId="894">
    <w:name w:val="Subtle Reference"/>
    <w:uiPriority w:val="31"/>
    <w:qFormat/>
    <w:rPr>
      <w:sz w:val="24"/>
      <w:szCs w:val="24"/>
      <w:u w:val="single"/>
    </w:rPr>
  </w:style>
  <w:style w:type="character" w:styleId="895">
    <w:name w:val="Intense Reference"/>
    <w:uiPriority w:val="32"/>
    <w:qFormat/>
    <w:rPr>
      <w:b/>
      <w:sz w:val="24"/>
      <w:u w:val="single"/>
    </w:rPr>
  </w:style>
  <w:style w:type="character" w:styleId="896">
    <w:name w:val="Book Title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97" w:customStyle="1">
    <w:name w:val="ConsPlusNormal"/>
    <w:pPr>
      <w:widowControl w:val="off"/>
    </w:pPr>
    <w:rPr>
      <w:rFonts w:cs="Calibri"/>
      <w:sz w:val="22"/>
      <w:szCs w:val="22"/>
    </w:rPr>
  </w:style>
  <w:style w:type="character" w:styleId="898" w:customStyle="1">
    <w:name w:val="Верхний колонтитул Знак"/>
    <w:link w:val="724"/>
    <w:uiPriority w:val="99"/>
    <w:rPr>
      <w:sz w:val="24"/>
      <w:szCs w:val="24"/>
    </w:rPr>
  </w:style>
  <w:style w:type="character" w:styleId="899" w:customStyle="1">
    <w:name w:val="Нижний колонтитул Знак"/>
    <w:link w:val="726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9E26C5F58E28456B447939BB572B1D6A6A73B008402CB78C069261C60EE345268DF1A4DC945C750A71E824E052E7A1BF6579F9FF4A82B0n0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102</cp:revision>
  <dcterms:created xsi:type="dcterms:W3CDTF">2023-10-27T04:44:00Z</dcterms:created>
  <dcterms:modified xsi:type="dcterms:W3CDTF">2024-02-07T04:56:56Z</dcterms:modified>
  <cp:version>1048576</cp:version>
</cp:coreProperties>
</file>